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48930105"/>
      <w:bookmarkEnd w:id="0"/>
      <w:bookmarkStart w:id="1" w:name="_Hlt449016246"/>
      <w:bookmarkEnd w:id="1"/>
      <w:bookmarkStart w:id="2" w:name="_Hlt450051172"/>
      <w:bookmarkEnd w:id="2"/>
      <w:bookmarkStart w:id="3" w:name="_Hlt450039480"/>
      <w:bookmarkEnd w:id="3"/>
      <w:bookmarkStart w:id="4" w:name="_Hlt450066085"/>
      <w:bookmarkEnd w:id="4"/>
      <w:bookmarkStart w:id="5" w:name="_Hlt450066087"/>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91</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90XXXX</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Xi</w:t>
      </w:r>
      <w:r>
        <w:rPr>
          <w:rFonts w:hint="default" w:ascii="Arial" w:hAnsi="Arial"/>
          <w:b/>
          <w:sz w:val="24"/>
          <w:szCs w:val="24"/>
          <w:lang w:val="en-US" w:eastAsia="zh-CN"/>
        </w:rPr>
        <w:t>’</w:t>
      </w:r>
      <w:r>
        <w:rPr>
          <w:rFonts w:hint="eastAsia" w:ascii="Arial" w:hAnsi="Arial"/>
          <w:b/>
          <w:sz w:val="24"/>
          <w:szCs w:val="24"/>
          <w:lang w:val="en-US" w:eastAsia="zh-CN"/>
        </w:rPr>
        <w:t>an</w:t>
      </w:r>
      <w:r>
        <w:rPr>
          <w:rFonts w:hint="eastAsia" w:ascii="Arial" w:hAnsi="Arial" w:eastAsia="宋体"/>
          <w:b/>
          <w:sz w:val="24"/>
          <w:szCs w:val="24"/>
          <w:lang w:eastAsia="zh-CN"/>
        </w:rPr>
        <w:t xml:space="preserve">, </w:t>
      </w:r>
      <w:r>
        <w:rPr>
          <w:rFonts w:hint="eastAsia" w:ascii="Arial" w:hAnsi="Arial"/>
          <w:b/>
          <w:sz w:val="24"/>
          <w:szCs w:val="24"/>
          <w:lang w:val="en-US" w:eastAsia="zh-CN"/>
        </w:rPr>
        <w:t>China</w:t>
      </w:r>
      <w:r>
        <w:rPr>
          <w:rFonts w:ascii="Arial" w:hAnsi="Arial" w:eastAsia="宋体"/>
          <w:b/>
          <w:sz w:val="24"/>
          <w:szCs w:val="24"/>
          <w:lang w:eastAsia="zh-CN"/>
        </w:rPr>
        <w:t xml:space="preserve">, </w:t>
      </w:r>
      <w:r>
        <w:rPr>
          <w:rFonts w:hint="eastAsia" w:ascii="Arial" w:hAnsi="Arial"/>
          <w:b/>
          <w:sz w:val="24"/>
          <w:szCs w:val="24"/>
          <w:lang w:val="en-US" w:eastAsia="zh-CN"/>
        </w:rPr>
        <w:t>8</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out-of-band blocking requirements for 7-24GHz</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lang w:val="en-US" w:eastAsia="zh-CN"/>
        </w:rPr>
        <w:t>10.4.5</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lang w:val="en-US" w:eastAsia="zh-CN"/>
        </w:rPr>
      </w:pPr>
      <w:r>
        <w:rPr>
          <w:rFonts w:hint="eastAsia"/>
          <w:lang w:val="en-US" w:eastAsia="zh-CN"/>
        </w:rPr>
        <w:t>The work plan[1] for the study item 7-24GHz has been approved in RAN4#90 meeting. It is agreed to further discuss:</w:t>
      </w:r>
    </w:p>
    <w:p>
      <w:pPr>
        <w:pStyle w:val="84"/>
        <w:numPr>
          <w:ilvl w:val="0"/>
          <w:numId w:val="0"/>
        </w:numPr>
        <w:bidi w:val="0"/>
        <w:ind w:leftChars="0"/>
        <w:rPr>
          <w:color w:val="000000" w:themeColor="text1"/>
          <w14:textFill>
            <w14:solidFill>
              <w14:schemeClr w14:val="tx1"/>
            </w14:solidFill>
          </w14:textFill>
        </w:rPr>
      </w:pPr>
      <w:r>
        <w:rPr>
          <w:color w:val="000000" w:themeColor="text1"/>
          <w14:textFill>
            <w14:solidFill>
              <w14:schemeClr w14:val="tx1"/>
            </w14:solidFill>
          </w14:textFill>
        </w:rPr>
        <w:t>BS specifications and requirements: continue discussion</w:t>
      </w:r>
    </w:p>
    <w:p>
      <w:pPr>
        <w:pStyle w:val="84"/>
        <w:numPr>
          <w:ilvl w:val="0"/>
          <w:numId w:val="0"/>
        </w:numPr>
        <w:bidi w:val="0"/>
        <w:ind w:leftChars="0" w:firstLine="280" w:firstLineChars="0"/>
        <w:rPr>
          <w:color w:val="000000" w:themeColor="text1"/>
          <w14:textFill>
            <w14:solidFill>
              <w14:schemeClr w14:val="tx1"/>
            </w14:solidFill>
          </w14:textFill>
        </w:rPr>
      </w:pPr>
      <w:r>
        <w:rPr>
          <w:color w:val="000000" w:themeColor="text1"/>
          <w14:textFill>
            <w14:solidFill>
              <w14:schemeClr w14:val="tx1"/>
            </w14:solidFill>
          </w14:textFill>
        </w:rPr>
        <w:t>Expected impacted on specs and requirements</w:t>
      </w:r>
    </w:p>
    <w:p>
      <w:pPr>
        <w:pStyle w:val="84"/>
        <w:numPr>
          <w:ilvl w:val="0"/>
          <w:numId w:val="0"/>
        </w:numPr>
        <w:bidi w:val="0"/>
        <w:ind w:leftChars="0" w:firstLine="280"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Comparison with existing FR1 and FR2 requirements </w:t>
      </w:r>
    </w:p>
    <w:p>
      <w:pPr>
        <w:pStyle w:val="84"/>
        <w:numPr>
          <w:ilvl w:val="0"/>
          <w:numId w:val="0"/>
        </w:numPr>
        <w:bidi w:val="0"/>
        <w:ind w:leftChars="0" w:firstLine="280" w:firstLineChars="0"/>
        <w:rPr>
          <w:color w:val="000000" w:themeColor="text1"/>
          <w14:textFill>
            <w14:solidFill>
              <w14:schemeClr w14:val="tx1"/>
            </w14:solidFill>
          </w14:textFill>
        </w:rPr>
      </w:pPr>
      <w:r>
        <w:rPr>
          <w:color w:val="000000" w:themeColor="text1"/>
          <w14:textFill>
            <w14:solidFill>
              <w14:schemeClr w14:val="tx1"/>
            </w14:solidFill>
          </w14:textFill>
        </w:rPr>
        <w:t>Further discuss need for co-location requirements</w:t>
      </w:r>
    </w:p>
    <w:p>
      <w:pPr>
        <w:rPr>
          <w:rFonts w:hint="default"/>
          <w:lang w:val="en-US" w:eastAsia="zh-CN"/>
        </w:rPr>
      </w:pPr>
      <w:r>
        <w:rPr>
          <w:rFonts w:hint="eastAsia"/>
          <w:lang w:val="en-US" w:eastAsia="zh-CN"/>
        </w:rPr>
        <w:t>Hence in this contribution, we give some analysis on out-of-band blocking requirements for 7-24GHz.</w:t>
      </w:r>
    </w:p>
    <w:p>
      <w:pPr>
        <w:pStyle w:val="2"/>
        <w:rPr>
          <w:rFonts w:hint="default"/>
          <w:lang w:val="en-US" w:eastAsia="zh-CN"/>
        </w:rPr>
      </w:pPr>
      <w:r>
        <w:rPr>
          <w:lang w:eastAsia="zh-CN"/>
        </w:rPr>
        <w:t>Discussion</w:t>
      </w:r>
    </w:p>
    <w:p>
      <w:pPr>
        <w:pStyle w:val="3"/>
        <w:bidi w:val="0"/>
        <w:rPr>
          <w:rFonts w:hint="eastAsia"/>
          <w:lang w:val="en-US" w:eastAsia="zh-CN"/>
        </w:rPr>
      </w:pPr>
      <w:r>
        <w:rPr>
          <w:rFonts w:hint="eastAsia"/>
          <w:lang w:val="en-US" w:eastAsia="zh-CN"/>
        </w:rPr>
        <w:t xml:space="preserve">Frequency ranges </w:t>
      </w:r>
    </w:p>
    <w:p>
      <w:pPr>
        <w:rPr>
          <w:rFonts w:hint="eastAsia"/>
          <w:i w:val="0"/>
          <w:iCs w:val="0"/>
          <w:lang w:val="en-US" w:eastAsia="zh-CN"/>
        </w:rPr>
      </w:pPr>
      <w:r>
        <w:rPr>
          <w:rFonts w:hint="eastAsia"/>
          <w:i w:val="0"/>
          <w:iCs w:val="0"/>
          <w:lang w:val="en-US" w:eastAsia="zh-CN"/>
        </w:rPr>
        <w:t xml:space="preserve">In RAN4#90 meeting, the 7-24GHz frequency range has been divided into 3 sub-ranges as </w:t>
      </w:r>
    </w:p>
    <w:p>
      <w:pPr>
        <w:ind w:firstLine="280" w:firstLineChars="0"/>
        <w:rPr>
          <w:i/>
          <w:iCs/>
        </w:rPr>
      </w:pPr>
      <w:r>
        <w:rPr>
          <w:i/>
          <w:iCs/>
        </w:rPr>
        <w:t>- 7 GHz – 13GHz</w:t>
      </w:r>
    </w:p>
    <w:p>
      <w:pPr>
        <w:rPr>
          <w:i/>
          <w:iCs/>
        </w:rPr>
      </w:pPr>
      <w:r>
        <w:rPr>
          <w:i/>
          <w:iCs/>
        </w:rPr>
        <w:tab/>
      </w:r>
      <w:r>
        <w:rPr>
          <w:i/>
          <w:iCs/>
        </w:rPr>
        <w:t xml:space="preserve">- 13 GHz – 18 GHz </w:t>
      </w:r>
    </w:p>
    <w:p>
      <w:pPr>
        <w:rPr>
          <w:i/>
          <w:iCs/>
        </w:rPr>
      </w:pPr>
      <w:r>
        <w:rPr>
          <w:i/>
          <w:iCs/>
        </w:rPr>
        <w:tab/>
      </w:r>
      <w:r>
        <w:rPr>
          <w:i/>
          <w:iCs/>
        </w:rPr>
        <w:t>- 18 GHz – 24 GHz</w:t>
      </w:r>
    </w:p>
    <w:p>
      <w:pPr>
        <w:pStyle w:val="4"/>
        <w:bidi w:val="0"/>
        <w:rPr>
          <w:rFonts w:hint="eastAsia"/>
          <w:lang w:val="en-US" w:eastAsia="zh-CN"/>
        </w:rPr>
      </w:pPr>
      <w:r>
        <w:rPr>
          <w:rFonts w:hint="eastAsia"/>
          <w:lang w:val="en-US" w:eastAsia="zh-CN"/>
        </w:rPr>
        <w:t>Upper frequency limit</w:t>
      </w:r>
    </w:p>
    <w:p>
      <w:pPr>
        <w:rPr>
          <w:rFonts w:hint="eastAsia"/>
          <w:lang w:val="en-US" w:eastAsia="zh-CN"/>
        </w:rPr>
      </w:pPr>
      <w:r>
        <w:rPr>
          <w:rFonts w:hint="eastAsia"/>
          <w:lang w:val="en-US" w:eastAsia="zh-CN"/>
        </w:rPr>
        <w:t xml:space="preserve">When defining the out-of-band blocking requirement test frequency ranges of BS type 2-O, it is agreed that  </w:t>
      </w:r>
      <w:r>
        <w:rPr>
          <w:rFonts w:hint="default"/>
          <w:lang w:val="en-US" w:eastAsia="zh-CN"/>
        </w:rPr>
        <w:t>“</w:t>
      </w:r>
      <w:r>
        <w:rPr>
          <w:i/>
          <w:iCs/>
        </w:rPr>
        <w:t>to limit the upper frequency for conformance testing in a similar manner as for FR2 spurious emission</w:t>
      </w:r>
      <w:r>
        <w:rPr>
          <w:rFonts w:hint="default"/>
          <w:lang w:val="en-US" w:eastAsia="zh-CN"/>
        </w:rPr>
        <w:t>”</w:t>
      </w:r>
      <w:r>
        <w:rPr>
          <w:rFonts w:hint="eastAsia"/>
          <w:lang w:val="en-US" w:eastAsia="zh-CN"/>
        </w:rPr>
        <w:t xml:space="preserve"> which has been captured in TR 38.817-02[2]. Hence we apply the same principle here to extend the upper frequency limit according to SM.329[3] as table 1.</w:t>
      </w:r>
    </w:p>
    <w:p>
      <w:pPr>
        <w:jc w:val="center"/>
        <w:rPr>
          <w:rFonts w:hint="default"/>
          <w:lang w:val="en-US" w:eastAsia="zh-CN"/>
        </w:rPr>
      </w:pPr>
      <w:r>
        <w:rPr>
          <w:rFonts w:hint="eastAsia"/>
          <w:lang w:val="en-US" w:eastAsia="zh-CN"/>
        </w:rPr>
        <w:t>Table 1 Frequency range for unwanted emission measurements</w:t>
      </w:r>
    </w:p>
    <w:p>
      <w:pPr>
        <w:jc w:val="center"/>
      </w:pPr>
      <w:r>
        <w:drawing>
          <wp:inline distT="0" distB="0" distL="114300" distR="114300">
            <wp:extent cx="4720590" cy="2094865"/>
            <wp:effectExtent l="0" t="0" r="381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720590" cy="2094865"/>
                    </a:xfrm>
                    <a:prstGeom prst="rect">
                      <a:avLst/>
                    </a:prstGeom>
                    <a:noFill/>
                    <a:ln>
                      <a:noFill/>
                    </a:ln>
                  </pic:spPr>
                </pic:pic>
              </a:graphicData>
            </a:graphic>
          </wp:inline>
        </w:drawing>
      </w:r>
    </w:p>
    <w:p>
      <w:pPr>
        <w:jc w:val="left"/>
        <w:rPr>
          <w:rFonts w:hint="eastAsia"/>
          <w:lang w:val="en-US" w:eastAsia="zh-CN"/>
        </w:rPr>
      </w:pPr>
      <w:r>
        <w:rPr>
          <w:rFonts w:hint="eastAsia"/>
          <w:lang w:val="en-US" w:eastAsia="zh-CN"/>
        </w:rPr>
        <w:t>The out-of-band blocking test range can be expressed as below:</w:t>
      </w:r>
    </w:p>
    <w:p>
      <w:pPr>
        <w:rPr>
          <w:rFonts w:hint="eastAsia"/>
          <w:lang w:val="en-US" w:eastAsia="zh-CN"/>
        </w:rPr>
      </w:pPr>
      <w:r>
        <w:rPr>
          <w:rFonts w:hint="eastAsia"/>
          <w:lang w:val="en-US" w:eastAsia="zh-CN"/>
        </w:rPr>
        <w:br w:type="page"/>
      </w:r>
    </w:p>
    <w:p>
      <w:pPr>
        <w:jc w:val="center"/>
        <w:rPr>
          <w:rFonts w:hint="default"/>
          <w:lang w:val="en-US" w:eastAsia="zh-CN"/>
        </w:rPr>
      </w:pPr>
      <w:r>
        <w:rPr>
          <w:rFonts w:hint="eastAsia"/>
          <w:lang w:val="en-US" w:eastAsia="zh-CN"/>
        </w:rPr>
        <w:t>Table 2 OOB test range for new sub-ranges</w:t>
      </w:r>
    </w:p>
    <w:tbl>
      <w:tblPr>
        <w:tblStyle w:val="53"/>
        <w:tblW w:w="37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889" w:type="dxa"/>
            <w:vAlign w:val="center"/>
          </w:tcPr>
          <w:p>
            <w:pPr>
              <w:pStyle w:val="73"/>
              <w:bidi w:val="0"/>
              <w:rPr>
                <w:rFonts w:hint="default"/>
                <w:lang w:val="en-US" w:eastAsia="zh-CN"/>
              </w:rPr>
            </w:pPr>
            <w:r>
              <w:rPr>
                <w:rFonts w:hint="eastAsia"/>
                <w:lang w:val="en-US" w:eastAsia="zh-CN"/>
              </w:rPr>
              <w:t>Sub ranges</w:t>
            </w:r>
          </w:p>
        </w:tc>
        <w:tc>
          <w:tcPr>
            <w:tcW w:w="1890" w:type="dxa"/>
            <w:vAlign w:val="center"/>
          </w:tcPr>
          <w:p>
            <w:pPr>
              <w:pStyle w:val="73"/>
              <w:bidi w:val="0"/>
              <w:rPr>
                <w:rFonts w:hint="default"/>
                <w:lang w:val="en-US" w:eastAsia="zh-CN"/>
              </w:rPr>
            </w:pPr>
            <w:r>
              <w:rPr>
                <w:rFonts w:hint="eastAsia"/>
                <w:lang w:val="en-US" w:eastAsia="zh-CN"/>
              </w:rPr>
              <w:t>OOB test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889" w:type="dxa"/>
            <w:vAlign w:val="center"/>
          </w:tcPr>
          <w:p>
            <w:pPr>
              <w:pStyle w:val="75"/>
              <w:bidi w:val="0"/>
              <w:jc w:val="center"/>
              <w:rPr>
                <w:rFonts w:hint="default"/>
                <w:lang w:val="en-US" w:eastAsia="zh-CN"/>
              </w:rPr>
            </w:pPr>
            <w:r>
              <w:rPr>
                <w:rFonts w:hint="eastAsia"/>
                <w:lang w:val="en-US" w:eastAsia="zh-CN"/>
              </w:rPr>
              <w:t>7-13GHz</w:t>
            </w:r>
          </w:p>
        </w:tc>
        <w:tc>
          <w:tcPr>
            <w:tcW w:w="1890" w:type="dxa"/>
            <w:vAlign w:val="center"/>
          </w:tcPr>
          <w:p>
            <w:pPr>
              <w:pStyle w:val="75"/>
              <w:bidi w:val="0"/>
              <w:jc w:val="center"/>
              <w:rPr>
                <w:rFonts w:hint="default"/>
                <w:lang w:val="en-US" w:eastAsia="zh-CN"/>
              </w:rPr>
            </w:pPr>
            <w:r>
              <w:rPr>
                <w:rFonts w:hint="eastAsia"/>
                <w:lang w:val="en-US" w:eastAsia="zh-CN"/>
              </w:rPr>
              <w:t>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889" w:type="dxa"/>
            <w:vAlign w:val="center"/>
          </w:tcPr>
          <w:p>
            <w:pPr>
              <w:pStyle w:val="75"/>
              <w:bidi w:val="0"/>
              <w:jc w:val="center"/>
              <w:rPr>
                <w:rFonts w:hint="default"/>
                <w:lang w:val="en-US" w:eastAsia="zh-CN"/>
              </w:rPr>
            </w:pPr>
            <w:r>
              <w:rPr>
                <w:rFonts w:hint="eastAsia"/>
                <w:lang w:val="en-US" w:eastAsia="zh-CN"/>
              </w:rPr>
              <w:t>13-18GHz</w:t>
            </w:r>
          </w:p>
        </w:tc>
        <w:tc>
          <w:tcPr>
            <w:tcW w:w="1890" w:type="dxa"/>
            <w:vAlign w:val="center"/>
          </w:tcPr>
          <w:p>
            <w:pPr>
              <w:pStyle w:val="75"/>
              <w:bidi w:val="0"/>
              <w:jc w:val="center"/>
              <w:rPr>
                <w:rFonts w:hint="default"/>
                <w:lang w:val="en-US" w:eastAsia="zh-CN"/>
              </w:rPr>
            </w:pPr>
            <w:r>
              <w:rPr>
                <w:rFonts w:hint="eastAsia"/>
                <w:lang w:val="en-US" w:eastAsia="zh-CN"/>
              </w:rPr>
              <w:t>2</w:t>
            </w:r>
            <w:r>
              <w:rPr>
                <w:rFonts w:hint="eastAsia"/>
                <w:vertAlign w:val="superscript"/>
                <w:lang w:val="en-US" w:eastAsia="zh-CN"/>
              </w:rPr>
              <w:t>nd</w:t>
            </w:r>
            <w:r>
              <w:rPr>
                <w:rFonts w:hint="eastAsia"/>
                <w:lang w:val="en-US" w:eastAsia="zh-CN"/>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89" w:type="dxa"/>
            <w:vAlign w:val="center"/>
          </w:tcPr>
          <w:p>
            <w:pPr>
              <w:pStyle w:val="75"/>
              <w:bidi w:val="0"/>
              <w:jc w:val="center"/>
              <w:rPr>
                <w:rFonts w:hint="default"/>
                <w:lang w:val="en-US" w:eastAsia="zh-CN"/>
              </w:rPr>
            </w:pPr>
            <w:r>
              <w:rPr>
                <w:rFonts w:hint="eastAsia"/>
                <w:lang w:val="en-US" w:eastAsia="zh-CN"/>
              </w:rPr>
              <w:t>18-24GHz</w:t>
            </w:r>
          </w:p>
        </w:tc>
        <w:tc>
          <w:tcPr>
            <w:tcW w:w="1890" w:type="dxa"/>
            <w:vAlign w:val="center"/>
          </w:tcPr>
          <w:p>
            <w:pPr>
              <w:pStyle w:val="75"/>
              <w:bidi w:val="0"/>
              <w:jc w:val="center"/>
              <w:rPr>
                <w:rFonts w:hint="default"/>
                <w:lang w:val="en-US" w:eastAsia="zh-CN"/>
              </w:rPr>
            </w:pPr>
            <w:r>
              <w:rPr>
                <w:rFonts w:hint="eastAsia"/>
                <w:lang w:val="en-US" w:eastAsia="zh-CN"/>
              </w:rPr>
              <w:t>2</w:t>
            </w:r>
            <w:r>
              <w:rPr>
                <w:rFonts w:hint="eastAsia"/>
                <w:vertAlign w:val="superscript"/>
                <w:lang w:val="en-US" w:eastAsia="zh-CN"/>
              </w:rPr>
              <w:t>nd</w:t>
            </w:r>
            <w:r>
              <w:rPr>
                <w:rFonts w:hint="eastAsia"/>
                <w:lang w:val="en-US" w:eastAsia="zh-CN"/>
              </w:rPr>
              <w:t xml:space="preserve"> harmonic</w:t>
            </w:r>
          </w:p>
        </w:tc>
      </w:tr>
    </w:tbl>
    <w:p>
      <w:pPr>
        <w:jc w:val="left"/>
        <w:rPr>
          <w:rFonts w:hint="default"/>
          <w:lang w:val="en-US" w:eastAsia="zh-CN"/>
        </w:rPr>
      </w:pPr>
    </w:p>
    <w:p>
      <w:pPr>
        <w:pStyle w:val="4"/>
        <w:bidi w:val="0"/>
        <w:rPr>
          <w:rFonts w:hint="eastAsia"/>
          <w:lang w:val="en-US" w:eastAsia="zh-CN"/>
        </w:rPr>
      </w:pPr>
      <w:r>
        <w:rPr>
          <w:rFonts w:hint="eastAsia"/>
          <w:lang w:val="en-US" w:eastAsia="zh-CN"/>
        </w:rPr>
        <w:t>The OOB boundary</w:t>
      </w:r>
    </w:p>
    <w:p>
      <w:pPr>
        <w:rPr>
          <w:rFonts w:hint="eastAsia"/>
          <w:lang w:val="en-US" w:eastAsia="zh-CN"/>
        </w:rPr>
      </w:pPr>
      <w:r>
        <w:rPr>
          <w:rFonts w:hint="eastAsia"/>
          <w:lang w:val="en-US" w:eastAsia="zh-CN"/>
        </w:rPr>
        <w:t xml:space="preserve">The OOB boundary for current TS 38.104 is defined based on the operating bandwidth, BS architecture and especially the RF filter design. For the new frequency range, the </w:t>
      </w:r>
      <w:r>
        <w:t>Δf</w:t>
      </w:r>
      <w:r>
        <w:rPr>
          <w:vertAlign w:val="subscript"/>
        </w:rPr>
        <w:t>OOB</w:t>
      </w:r>
      <w:r>
        <w:rPr>
          <w:rFonts w:hint="eastAsia"/>
          <w:vertAlign w:val="subscript"/>
          <w:lang w:val="en-US" w:eastAsia="zh-CN"/>
        </w:rPr>
        <w:t xml:space="preserve"> </w:t>
      </w:r>
      <w:r>
        <w:rPr>
          <w:rFonts w:hint="eastAsia"/>
          <w:lang w:val="en-US" w:eastAsia="zh-CN"/>
        </w:rPr>
        <w:t>should be revisited due to different operating band and RF filter design.</w:t>
      </w:r>
    </w:p>
    <w:p>
      <w:pPr>
        <w:rPr>
          <w:rFonts w:hint="default"/>
          <w:b/>
          <w:bCs/>
          <w:lang w:val="en-US" w:eastAsia="zh-CN"/>
        </w:rPr>
      </w:pPr>
      <w:r>
        <w:rPr>
          <w:rFonts w:hint="eastAsia"/>
          <w:b/>
          <w:bCs/>
          <w:lang w:val="en-US" w:eastAsia="zh-CN"/>
        </w:rPr>
        <w:t xml:space="preserve">Observation 1: The </w:t>
      </w:r>
      <w:r>
        <w:rPr>
          <w:b/>
          <w:bCs/>
        </w:rPr>
        <w:t>Δf</w:t>
      </w:r>
      <w:r>
        <w:rPr>
          <w:b/>
          <w:bCs/>
          <w:vertAlign w:val="subscript"/>
        </w:rPr>
        <w:t>OOB</w:t>
      </w:r>
      <w:r>
        <w:rPr>
          <w:rFonts w:hint="eastAsia"/>
          <w:b/>
          <w:bCs/>
          <w:vertAlign w:val="subscript"/>
          <w:lang w:val="en-US" w:eastAsia="zh-CN"/>
        </w:rPr>
        <w:t xml:space="preserve"> </w:t>
      </w:r>
      <w:r>
        <w:rPr>
          <w:rFonts w:hint="eastAsia"/>
          <w:b/>
          <w:bCs/>
          <w:lang w:val="en-US" w:eastAsia="zh-CN"/>
        </w:rPr>
        <w:t>should be revisited due to different operating band and RF filter design.</w:t>
      </w:r>
    </w:p>
    <w:p>
      <w:pPr>
        <w:pStyle w:val="3"/>
        <w:bidi w:val="0"/>
        <w:rPr>
          <w:rFonts w:hint="eastAsia"/>
          <w:lang w:val="en-US" w:eastAsia="zh-CN"/>
        </w:rPr>
      </w:pPr>
      <w:r>
        <w:rPr>
          <w:rFonts w:hint="eastAsia"/>
          <w:lang w:val="en-US" w:eastAsia="zh-CN"/>
        </w:rPr>
        <w:t>Core requirements for out-of-band blocking</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Currently, conducted and OTA requirements have been defined for FR1 and only OTA requirements are defined for FR2. For these 3 new sub-ranges, our opinion is conducted and OTA requirements should be defined for sub-range 7-13GHz and only OTA requirement should be defined for sub-range 13-18GHz and 18-24GHz.</w:t>
      </w:r>
    </w:p>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A basic consideration is the TAB connector physical size. Current MMCX connector diameter size is about 1cm. Also the distance between each antenna element is set to 0.5λ where λ is the wavelength. Meanwhile for BS type 1-H, the antenna element and TAB connector is set to 1:1 scaling and direct plug-in method is used of each antenna element. So the distance between each TAB connector is also  0.5λ. For the extreme case as the connector is positioned side by side as shown in figure 1 below:</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pPr>
      <w:r>
        <w:drawing>
          <wp:inline distT="0" distB="0" distL="114300" distR="114300">
            <wp:extent cx="1289050" cy="926465"/>
            <wp:effectExtent l="0" t="0" r="635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1289050" cy="92646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lang w:val="en-US" w:eastAsia="zh-CN"/>
        </w:rPr>
      </w:pPr>
      <w:r>
        <w:rPr>
          <w:rFonts w:hint="eastAsia"/>
          <w:lang w:val="en-US" w:eastAsia="zh-CN"/>
        </w:rPr>
        <w:t>Figure 1 Extreme case for TAB connector position</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eastAsia"/>
          <w:lang w:val="en-US" w:eastAsia="zh-CN"/>
        </w:rPr>
      </w:pPr>
      <w:r>
        <w:rPr>
          <w:rFonts w:hint="eastAsia"/>
          <w:lang w:val="en-US" w:eastAsia="zh-CN"/>
        </w:rPr>
        <w:t>In this case,  0.5λ=1 cm and corresponding frequency is15GHz. We would not want this extreme case appear in the product layout and based on the current sub-range division, 13GHz should be a proper frequency break point to set-up conducted/OTA requirement.</w:t>
      </w:r>
    </w:p>
    <w:p>
      <w:pPr>
        <w:rPr>
          <w:rFonts w:hint="default"/>
          <w:b/>
          <w:bCs/>
          <w:lang w:val="en-US" w:eastAsia="zh-CN"/>
        </w:rPr>
      </w:pPr>
      <w:r>
        <w:rPr>
          <w:rFonts w:hint="eastAsia"/>
          <w:b/>
          <w:bCs/>
          <w:lang w:val="en-US" w:eastAsia="zh-CN"/>
        </w:rPr>
        <w:t>Observation 2: Based on the physical size of TAB connectors, 13GHz is a proper break point that beyond 13GHz only OTA requirement will be defined.</w:t>
      </w:r>
    </w:p>
    <w:p>
      <w:pPr>
        <w:rPr>
          <w:rFonts w:hint="eastAsia"/>
          <w:lang w:val="en-US" w:eastAsia="zh-CN"/>
        </w:rPr>
      </w:pPr>
      <w:r>
        <w:rPr>
          <w:rFonts w:hint="eastAsia"/>
          <w:lang w:val="en-US" w:eastAsia="zh-CN"/>
        </w:rPr>
        <w:t>A review of current TS 38.104 conducted requirement and OTA requirement is as following table 3 and table 4</w:t>
      </w:r>
    </w:p>
    <w:p>
      <w:pPr>
        <w:jc w:val="center"/>
        <w:rPr>
          <w:rFonts w:hint="default"/>
          <w:lang w:val="en-US" w:eastAsia="zh-CN"/>
        </w:rPr>
      </w:pPr>
      <w:r>
        <w:rPr>
          <w:rFonts w:hint="eastAsia"/>
          <w:lang w:val="en-US" w:eastAsia="zh-CN"/>
        </w:rPr>
        <w:t>Table 3 OTA OOB requirement</w:t>
      </w:r>
    </w:p>
    <w:tbl>
      <w:tblPr>
        <w:tblStyle w:val="52"/>
        <w:tblW w:w="97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2771" w:type="dxa"/>
          </w:tcPr>
          <w:p>
            <w:pPr>
              <w:pStyle w:val="62"/>
            </w:pPr>
            <w:r>
              <w:t>Frequency range of interfering signal</w:t>
            </w:r>
          </w:p>
          <w:p>
            <w:pPr>
              <w:pStyle w:val="62"/>
            </w:pPr>
            <w:r>
              <w:t>(MHz)</w:t>
            </w:r>
          </w:p>
        </w:tc>
        <w:tc>
          <w:tcPr>
            <w:tcW w:w="1851" w:type="dxa"/>
            <w:shd w:val="clear" w:color="auto" w:fill="auto"/>
          </w:tcPr>
          <w:p>
            <w:pPr>
              <w:pStyle w:val="62"/>
            </w:pPr>
            <w:r>
              <w:t>Wanted signal mean power</w:t>
            </w:r>
          </w:p>
          <w:p>
            <w:pPr>
              <w:pStyle w:val="62"/>
              <w:rPr>
                <w:lang w:val="en-US"/>
              </w:rPr>
            </w:pPr>
            <w:r>
              <w:t>(dBm)</w:t>
            </w:r>
          </w:p>
        </w:tc>
        <w:tc>
          <w:tcPr>
            <w:tcW w:w="1955" w:type="dxa"/>
          </w:tcPr>
          <w:p>
            <w:pPr>
              <w:pStyle w:val="62"/>
              <w:rPr>
                <w:lang w:val="en-US"/>
              </w:rPr>
            </w:pPr>
            <w:r>
              <w:rPr>
                <w:lang w:val="en-US"/>
              </w:rPr>
              <w:t>Interferer RMS field-strength</w:t>
            </w:r>
          </w:p>
          <w:p>
            <w:pPr>
              <w:pStyle w:val="62"/>
            </w:pPr>
            <w:r>
              <w:rPr>
                <w:lang w:val="en-US"/>
              </w:rPr>
              <w:t>(V/m)</w:t>
            </w:r>
          </w:p>
        </w:tc>
        <w:tc>
          <w:tcPr>
            <w:tcW w:w="3217" w:type="dxa"/>
          </w:tcPr>
          <w:p>
            <w:pPr>
              <w:pStyle w:val="6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1" w:type="dxa"/>
          </w:tcPr>
          <w:p>
            <w:pPr>
              <w:pStyle w:val="63"/>
            </w:pPr>
            <w:r>
              <w:t>30 to 12750</w:t>
            </w:r>
          </w:p>
        </w:tc>
        <w:tc>
          <w:tcPr>
            <w:tcW w:w="1851" w:type="dxa"/>
            <w:shd w:val="clear" w:color="auto" w:fill="auto"/>
          </w:tcPr>
          <w:p>
            <w:pPr>
              <w:pStyle w:val="63"/>
            </w:pPr>
            <w:r>
              <w:rPr>
                <w:rFonts w:cs="Arial"/>
              </w:rPr>
              <w:t>EIS</w:t>
            </w:r>
            <w:r>
              <w:rPr>
                <w:rFonts w:cs="Arial"/>
                <w:vertAlign w:val="subscript"/>
              </w:rPr>
              <w:t>REFSENS</w:t>
            </w:r>
            <w:r>
              <w:rPr>
                <w:rFonts w:cs="Arial"/>
              </w:rPr>
              <w:t xml:space="preserve"> + 6 dB</w:t>
            </w:r>
          </w:p>
        </w:tc>
        <w:tc>
          <w:tcPr>
            <w:tcW w:w="1955" w:type="dxa"/>
          </w:tcPr>
          <w:p>
            <w:pPr>
              <w:pStyle w:val="63"/>
              <w:rPr>
                <w:rFonts w:cs="Arial"/>
              </w:rPr>
            </w:pPr>
            <w:r>
              <w:t>0.36</w:t>
            </w:r>
          </w:p>
        </w:tc>
        <w:tc>
          <w:tcPr>
            <w:tcW w:w="3217" w:type="dxa"/>
          </w:tcPr>
          <w:p>
            <w:pPr>
              <w:pStyle w:val="6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1" w:type="dxa"/>
          </w:tcPr>
          <w:p>
            <w:pPr>
              <w:pStyle w:val="63"/>
            </w:pPr>
            <w:r>
              <w:t>12750 to F</w:t>
            </w:r>
            <w:r>
              <w:rPr>
                <w:vertAlign w:val="subscript"/>
              </w:rPr>
              <w:t>UL</w:t>
            </w:r>
            <w:r>
              <w:rPr>
                <w:rFonts w:cs="Arial"/>
                <w:vertAlign w:val="subscript"/>
              </w:rPr>
              <w:t xml:space="preserve">,low </w:t>
            </w:r>
            <w:r>
              <w:rPr>
                <w:rFonts w:cs="Arial"/>
              </w:rPr>
              <w:t>– 1500</w:t>
            </w:r>
          </w:p>
        </w:tc>
        <w:tc>
          <w:tcPr>
            <w:tcW w:w="1851" w:type="dxa"/>
            <w:shd w:val="clear" w:color="auto" w:fill="auto"/>
          </w:tcPr>
          <w:p>
            <w:pPr>
              <w:pStyle w:val="63"/>
            </w:pPr>
            <w:r>
              <w:rPr>
                <w:rFonts w:cs="Arial"/>
              </w:rPr>
              <w:t>EIS</w:t>
            </w:r>
            <w:r>
              <w:rPr>
                <w:rFonts w:cs="Arial"/>
                <w:vertAlign w:val="subscript"/>
              </w:rPr>
              <w:t>REFSENS</w:t>
            </w:r>
            <w:r>
              <w:rPr>
                <w:rFonts w:cs="Arial"/>
              </w:rPr>
              <w:t xml:space="preserve"> + 6 dB</w:t>
            </w:r>
          </w:p>
        </w:tc>
        <w:tc>
          <w:tcPr>
            <w:tcW w:w="1955" w:type="dxa"/>
          </w:tcPr>
          <w:p>
            <w:pPr>
              <w:pStyle w:val="63"/>
              <w:rPr>
                <w:rFonts w:cs="Arial"/>
              </w:rPr>
            </w:pPr>
            <w:r>
              <w:t>0.1</w:t>
            </w:r>
          </w:p>
        </w:tc>
        <w:tc>
          <w:tcPr>
            <w:tcW w:w="3217" w:type="dxa"/>
          </w:tcPr>
          <w:p>
            <w:pPr>
              <w:pStyle w:val="6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1" w:type="dxa"/>
          </w:tcPr>
          <w:p>
            <w:pPr>
              <w:pStyle w:val="63"/>
            </w:pPr>
            <w:r>
              <w:t>F</w:t>
            </w:r>
            <w:r>
              <w:rPr>
                <w:vertAlign w:val="subscript"/>
              </w:rPr>
              <w:t>UL</w:t>
            </w:r>
            <w:r>
              <w:rPr>
                <w:rFonts w:cs="Arial"/>
                <w:vertAlign w:val="subscript"/>
              </w:rPr>
              <w:t xml:space="preserve">,high </w:t>
            </w:r>
            <w:r>
              <w:rPr>
                <w:rFonts w:cs="Arial"/>
              </w:rPr>
              <w:t>+ 1500</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pPr>
              <w:pStyle w:val="63"/>
            </w:pPr>
            <w:r>
              <w:rPr>
                <w:rFonts w:cs="Arial"/>
              </w:rPr>
              <w:t>EIS</w:t>
            </w:r>
            <w:r>
              <w:rPr>
                <w:rFonts w:cs="Arial"/>
                <w:vertAlign w:val="subscript"/>
              </w:rPr>
              <w:t>REFSENS</w:t>
            </w:r>
            <w:r>
              <w:rPr>
                <w:rFonts w:cs="Arial"/>
              </w:rPr>
              <w:t xml:space="preserve"> + 6 dB</w:t>
            </w:r>
          </w:p>
        </w:tc>
        <w:tc>
          <w:tcPr>
            <w:tcW w:w="1955" w:type="dxa"/>
          </w:tcPr>
          <w:p>
            <w:pPr>
              <w:pStyle w:val="63"/>
              <w:rPr>
                <w:rFonts w:cs="Arial"/>
              </w:rPr>
            </w:pPr>
            <w:r>
              <w:rPr>
                <w:rFonts w:cs="Arial"/>
              </w:rPr>
              <w:t>0.1</w:t>
            </w:r>
          </w:p>
        </w:tc>
        <w:tc>
          <w:tcPr>
            <w:tcW w:w="3217" w:type="dxa"/>
          </w:tcPr>
          <w:p>
            <w:pPr>
              <w:pStyle w:val="63"/>
            </w:pPr>
            <w:r>
              <w:t>CW</w:t>
            </w:r>
          </w:p>
        </w:tc>
      </w:tr>
    </w:tbl>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default"/>
          <w:lang w:val="en-US" w:eastAsia="zh-CN"/>
        </w:rPr>
      </w:pPr>
      <w:r>
        <w:rPr>
          <w:rFonts w:hint="eastAsia"/>
          <w:lang w:val="en-US" w:eastAsia="zh-CN"/>
        </w:rPr>
        <w:t>Table 4 Conducted OOB requirement</w:t>
      </w:r>
    </w:p>
    <w:tbl>
      <w:tblPr>
        <w:tblStyle w:val="52"/>
        <w:tblW w:w="5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tcPr>
          <w:p>
            <w:pPr>
              <w:pStyle w:val="62"/>
              <w:rPr>
                <w:rFonts w:cs="Arial"/>
              </w:rPr>
            </w:pPr>
            <w:r>
              <w:rPr>
                <w:rFonts w:cs="Arial"/>
              </w:rPr>
              <w:t>Wanted Signal mean power (dBm)</w:t>
            </w:r>
          </w:p>
        </w:tc>
        <w:tc>
          <w:tcPr>
            <w:tcW w:w="1559" w:type="dxa"/>
          </w:tcPr>
          <w:p>
            <w:pPr>
              <w:pStyle w:val="62"/>
              <w:rPr>
                <w:rFonts w:cs="Arial"/>
              </w:rPr>
            </w:pPr>
            <w:r>
              <w:rPr>
                <w:rFonts w:cs="Arial"/>
              </w:rPr>
              <w:t>Interfering Signal mean power (dBm)</w:t>
            </w:r>
          </w:p>
        </w:tc>
        <w:tc>
          <w:tcPr>
            <w:tcW w:w="2197" w:type="dxa"/>
          </w:tcPr>
          <w:p>
            <w:pPr>
              <w:pStyle w:val="6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95" w:type="dxa"/>
            <w:tcBorders>
              <w:left w:val="single" w:color="auto" w:sz="4" w:space="0"/>
            </w:tcBorders>
          </w:tcPr>
          <w:p>
            <w:pPr>
              <w:pStyle w:val="63"/>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63"/>
              <w:rPr>
                <w:rFonts w:cs="Arial"/>
              </w:rPr>
            </w:pPr>
            <w:r>
              <w:rPr>
                <w:rFonts w:cs="Arial"/>
              </w:rPr>
              <w:t xml:space="preserve">-15 </w:t>
            </w:r>
          </w:p>
        </w:tc>
        <w:tc>
          <w:tcPr>
            <w:tcW w:w="2197" w:type="dxa"/>
          </w:tcPr>
          <w:p>
            <w:pPr>
              <w:pStyle w:val="64"/>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75"/>
            </w:pPr>
            <w:r>
              <w:t>NOTE:</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tc>
      </w:tr>
    </w:tbl>
    <w:p>
      <w:pPr>
        <w:keepNext w:val="0"/>
        <w:keepLines w:val="0"/>
        <w:pageBreakBefore w:val="0"/>
        <w:widowControl/>
        <w:kinsoku/>
        <w:wordWrap/>
        <w:overflowPunct/>
        <w:topLinePunct w:val="0"/>
        <w:autoSpaceDE/>
        <w:autoSpaceDN/>
        <w:bidi w:val="0"/>
        <w:adjustRightInd/>
        <w:snapToGrid/>
        <w:spacing w:before="137" w:beforeLines="50"/>
        <w:textAlignment w:val="auto"/>
        <w:outlineLvl w:val="9"/>
        <w:rPr>
          <w:rFonts w:hint="eastAsia"/>
          <w:lang w:val="en-US" w:eastAsia="zh-CN"/>
        </w:rPr>
      </w:pPr>
      <w:r>
        <w:rPr>
          <w:rFonts w:hint="eastAsia"/>
          <w:lang w:val="en-US" w:eastAsia="zh-CN"/>
        </w:rPr>
        <w:t>For 30--12750MHz, we reused the legacy conducted requirement of LTE. For BS type 1-O, OTA OOB requirement are defined based on the -15dBm conducted requirement and it is transferred to 0.36V/m OTA. For frequency above 12750MHz, only OTA OOB requirement is defined.</w:t>
      </w:r>
    </w:p>
    <w:p>
      <w:pPr>
        <w:keepNext w:val="0"/>
        <w:keepLines w:val="0"/>
        <w:pageBreakBefore w:val="0"/>
        <w:widowControl/>
        <w:kinsoku/>
        <w:wordWrap/>
        <w:overflowPunct/>
        <w:topLinePunct w:val="0"/>
        <w:autoSpaceDE/>
        <w:autoSpaceDN/>
        <w:bidi w:val="0"/>
        <w:adjustRightInd/>
        <w:snapToGrid/>
        <w:textAlignment w:val="auto"/>
        <w:outlineLvl w:val="9"/>
        <w:rPr>
          <w:rFonts w:hint="eastAsia"/>
          <w:lang w:val="en-US" w:eastAsia="zh-CN"/>
        </w:rPr>
      </w:pPr>
      <w:r>
        <w:rPr>
          <w:rFonts w:hint="eastAsia"/>
          <w:lang w:val="en-US" w:eastAsia="zh-CN"/>
        </w:rPr>
        <w:t>As per observation 1, for sub-range 7-13GHz, conducted requirement should be defined. Also based on table 2, the upper frequency range should be set to 26GHz.  However, we haven</w:t>
      </w:r>
      <w:r>
        <w:rPr>
          <w:rFonts w:hint="default"/>
          <w:lang w:val="en-US" w:eastAsia="zh-CN"/>
        </w:rPr>
        <w:t>’</w:t>
      </w:r>
      <w:r>
        <w:rPr>
          <w:rFonts w:hint="eastAsia"/>
          <w:lang w:val="en-US" w:eastAsia="zh-CN"/>
        </w:rPr>
        <w:t xml:space="preserve">t defined the conducted requirement above 12.75GHz, so the test level need further study. </w:t>
      </w:r>
    </w:p>
    <w:p>
      <w:pPr>
        <w:keepNext w:val="0"/>
        <w:keepLines w:val="0"/>
        <w:pageBreakBefore w:val="0"/>
        <w:widowControl/>
        <w:kinsoku/>
        <w:wordWrap/>
        <w:overflowPunct/>
        <w:topLinePunct w:val="0"/>
        <w:autoSpaceDE/>
        <w:autoSpaceDN/>
        <w:bidi w:val="0"/>
        <w:adjustRightInd/>
        <w:snapToGrid/>
        <w:textAlignment w:val="auto"/>
        <w:outlineLvl w:val="9"/>
        <w:rPr>
          <w:rFonts w:hint="default"/>
          <w:b/>
          <w:bCs/>
          <w:lang w:val="en-US" w:eastAsia="zh-CN"/>
        </w:rPr>
      </w:pPr>
      <w:r>
        <w:rPr>
          <w:rFonts w:hint="eastAsia"/>
          <w:b/>
          <w:bCs/>
          <w:lang w:val="en-US" w:eastAsia="zh-CN"/>
        </w:rPr>
        <w:t>Proposal 1: To study the conducted OOB requirement at frequency between 12.75GHz to 26GHz.</w:t>
      </w:r>
    </w:p>
    <w:p>
      <w:pPr>
        <w:keepNext w:val="0"/>
        <w:keepLines w:val="0"/>
        <w:pageBreakBefore w:val="0"/>
        <w:widowControl/>
        <w:kinsoku/>
        <w:wordWrap/>
        <w:overflowPunct/>
        <w:topLinePunct w:val="0"/>
        <w:autoSpaceDE/>
        <w:autoSpaceDN/>
        <w:bidi w:val="0"/>
        <w:adjustRightInd/>
        <w:snapToGrid/>
        <w:textAlignment w:val="auto"/>
        <w:outlineLvl w:val="9"/>
        <w:rPr>
          <w:rFonts w:hint="eastAsia"/>
          <w:lang w:val="en-US" w:eastAsia="zh-CN"/>
        </w:rPr>
      </w:pPr>
      <w:r>
        <w:rPr>
          <w:rFonts w:hint="eastAsia"/>
          <w:lang w:val="en-US" w:eastAsia="zh-CN"/>
        </w:rPr>
        <w:t xml:space="preserve">Based on the legacy method to define the OTA OOB requirement for FR1, once the conducted OOB requirement is settled down, the OTA OOB requirement of sub-range 7-13GHz should be defined based on it for test range between 12.75GHz to 26GHz. </w:t>
      </w:r>
    </w:p>
    <w:p>
      <w:pPr>
        <w:keepNext w:val="0"/>
        <w:keepLines w:val="0"/>
        <w:pageBreakBefore w:val="0"/>
        <w:widowControl/>
        <w:kinsoku/>
        <w:wordWrap/>
        <w:overflowPunct/>
        <w:topLinePunct w:val="0"/>
        <w:autoSpaceDE/>
        <w:autoSpaceDN/>
        <w:bidi w:val="0"/>
        <w:adjustRightInd/>
        <w:snapToGrid/>
        <w:textAlignment w:val="auto"/>
        <w:outlineLvl w:val="9"/>
        <w:rPr>
          <w:rFonts w:hint="default"/>
          <w:lang w:val="en-US" w:eastAsia="zh-CN"/>
        </w:rPr>
      </w:pPr>
      <w:r>
        <w:rPr>
          <w:rFonts w:hint="eastAsia"/>
          <w:b/>
          <w:bCs/>
          <w:lang w:val="en-US" w:eastAsia="zh-CN"/>
        </w:rPr>
        <w:t>Proposal 2: To define the OTA OOB requirement for sub-range 7-13GHz based on conducted OOB requirement at frequency between 12.75GHz to 26GHz.</w:t>
      </w:r>
    </w:p>
    <w:p>
      <w:pPr>
        <w:bidi w:val="0"/>
        <w:rPr>
          <w:rFonts w:hint="eastAsia"/>
          <w:lang w:val="en-US" w:eastAsia="zh-CN"/>
        </w:rPr>
      </w:pPr>
      <w:r>
        <w:rPr>
          <w:rFonts w:hint="eastAsia"/>
          <w:lang w:val="en-US" w:eastAsia="zh-CN"/>
        </w:rPr>
        <w:t>For sub-range 13-18GHz and 18-24GHz, only OTA requirement will be defined. If we look back the process when we define core requirement of BS type 2-O, a real scenario has been discussed as 55dBm EIRP power and 13dB first side-lobe</w:t>
      </w:r>
      <w:bookmarkStart w:id="7" w:name="_GoBack"/>
      <w:bookmarkEnd w:id="7"/>
      <w:r>
        <w:rPr>
          <w:rFonts w:hint="eastAsia"/>
          <w:lang w:val="en-US" w:eastAsia="zh-CN"/>
        </w:rPr>
        <w:t xml:space="preserve"> @200m between two BS type 2-O from [4]. In this case the calculation is shown below:</w:t>
      </w:r>
    </w:p>
    <w:p>
      <w:pPr>
        <w:keepNext w:val="0"/>
        <w:keepLines w:val="0"/>
        <w:pageBreakBefore w:val="0"/>
        <w:widowControl/>
        <w:kinsoku/>
        <w:wordWrap/>
        <w:overflowPunct/>
        <w:topLinePunct w:val="0"/>
        <w:autoSpaceDE/>
        <w:autoSpaceDN/>
        <w:bidi w:val="0"/>
        <w:adjustRightInd/>
        <w:snapToGrid/>
        <w:jc w:val="center"/>
        <w:textAlignment w:val="auto"/>
        <w:outlineLvl w:val="9"/>
        <w:rPr>
          <w:position w:val="-24"/>
        </w:rPr>
      </w:pPr>
      <w:r>
        <w:rPr>
          <w:position w:val="-24"/>
        </w:rPr>
        <w:object>
          <v:shape id="_x0000_i1025" o:spt="75" type="#_x0000_t75" style="height:43.8pt;width:201.1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position w:val="-24"/>
          <w:lang w:val="en-US" w:eastAsia="zh-CN"/>
        </w:rPr>
      </w:pPr>
      <w:r>
        <w:rPr>
          <w:rFonts w:hint="eastAsia"/>
          <w:position w:val="-24"/>
          <w:lang w:val="en-US" w:eastAsia="zh-CN"/>
        </w:rPr>
        <w:t xml:space="preserve">Same method should be applied for the new sub-range 13-18GHz(test range up to 36GHz) and 18-24GHz(test range up to 48GHz). Hence the EIRP power should be considered first as a baseline for out-of-band blocking test.  </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b/>
          <w:bCs/>
          <w:position w:val="-24"/>
          <w:lang w:val="en-US" w:eastAsia="zh-CN"/>
        </w:rPr>
      </w:pPr>
      <w:r>
        <w:rPr>
          <w:rFonts w:hint="eastAsia"/>
          <w:b/>
          <w:bCs/>
          <w:position w:val="-24"/>
          <w:lang w:val="en-US" w:eastAsia="zh-CN"/>
        </w:rPr>
        <w:t>Proposal 3: Reuse the derivation method of BS type 2-O core requirement for sub-range 13-18GHz and 18-24GHz.</w:t>
      </w:r>
    </w:p>
    <w:p>
      <w:pPr>
        <w:bidi w:val="0"/>
        <w:rPr>
          <w:rFonts w:hint="default"/>
          <w:lang w:val="en-US" w:eastAsia="zh-CN"/>
        </w:rPr>
      </w:pPr>
      <w:r>
        <w:rPr>
          <w:rFonts w:hint="eastAsia"/>
          <w:lang w:val="en-US" w:eastAsia="zh-CN"/>
        </w:rPr>
        <w:t>The 0.1V/m for BS type 2-O has been used over the frequency range from 12.75GHz to 2</w:t>
      </w:r>
      <w:r>
        <w:rPr>
          <w:rFonts w:hint="eastAsia"/>
          <w:vertAlign w:val="superscript"/>
          <w:lang w:val="en-US" w:eastAsia="zh-CN"/>
        </w:rPr>
        <w:t>nd</w:t>
      </w:r>
      <w:r>
        <w:rPr>
          <w:rFonts w:hint="eastAsia"/>
          <w:lang w:val="en-US" w:eastAsia="zh-CN"/>
        </w:rPr>
        <w:t xml:space="preserve"> harmonic because only one blocking scenario is observed as two BS type 2-O interfering each other. While as the 7-24GHz range is introduced, new blocking scenario has been observed, e.g a base station A operating in sub-range 13-18GHz interfering a base station B of BS type 2-O. In this case, the blocking requirement for BS type 2-O on 13-18GHz might not be 0.1V/m anymore. </w:t>
      </w:r>
    </w:p>
    <w:p>
      <w:pPr>
        <w:bidi w:val="0"/>
        <w:rPr>
          <w:rFonts w:hint="eastAsia"/>
          <w:b/>
          <w:bCs/>
          <w:lang w:val="en-US" w:eastAsia="zh-CN"/>
        </w:rPr>
      </w:pPr>
      <w:r>
        <w:rPr>
          <w:rFonts w:hint="eastAsia"/>
          <w:b/>
          <w:bCs/>
          <w:lang w:val="en-US" w:eastAsia="zh-CN"/>
        </w:rPr>
        <w:t>Observation 3: New blocking scenario has been introduced and there will be different OTA requirement on the overlapping frequency above 12.75GHz.</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discussion on out-of-band blocking requirement and proposals are:</w:t>
      </w:r>
    </w:p>
    <w:p>
      <w:pPr>
        <w:rPr>
          <w:rFonts w:hint="eastAsia"/>
          <w:b/>
          <w:bCs/>
          <w:lang w:val="en-US" w:eastAsia="zh-CN"/>
        </w:rPr>
      </w:pPr>
      <w:r>
        <w:rPr>
          <w:rFonts w:hint="eastAsia"/>
          <w:b/>
          <w:bCs/>
          <w:lang w:val="en-US" w:eastAsia="zh-CN"/>
        </w:rPr>
        <w:t xml:space="preserve">Observation 1: The </w:t>
      </w:r>
      <w:r>
        <w:rPr>
          <w:b/>
          <w:bCs/>
        </w:rPr>
        <w:t>Δf</w:t>
      </w:r>
      <w:r>
        <w:rPr>
          <w:b/>
          <w:bCs/>
          <w:vertAlign w:val="subscript"/>
        </w:rPr>
        <w:t>OOB</w:t>
      </w:r>
      <w:r>
        <w:rPr>
          <w:rFonts w:hint="eastAsia"/>
          <w:b/>
          <w:bCs/>
          <w:vertAlign w:val="subscript"/>
          <w:lang w:val="en-US" w:eastAsia="zh-CN"/>
        </w:rPr>
        <w:t xml:space="preserve"> </w:t>
      </w:r>
      <w:r>
        <w:rPr>
          <w:rFonts w:hint="eastAsia"/>
          <w:b/>
          <w:bCs/>
          <w:lang w:val="en-US" w:eastAsia="zh-CN"/>
        </w:rPr>
        <w:t>should be revisited due to different operating band and RF filter design.</w:t>
      </w:r>
    </w:p>
    <w:p>
      <w:pPr>
        <w:rPr>
          <w:rFonts w:hint="default"/>
          <w:b/>
          <w:bCs/>
          <w:lang w:val="en-US" w:eastAsia="zh-CN"/>
        </w:rPr>
      </w:pPr>
      <w:r>
        <w:rPr>
          <w:rFonts w:hint="eastAsia"/>
          <w:b/>
          <w:bCs/>
          <w:lang w:val="en-US" w:eastAsia="zh-CN"/>
        </w:rPr>
        <w:t>Observation 2: Based on the physical size of TAB connectors, 13GHz is a proper break point that beyond 13GHz only OTA requirement will be defined.</w:t>
      </w:r>
    </w:p>
    <w:p>
      <w:pPr>
        <w:keepNext w:val="0"/>
        <w:keepLines w:val="0"/>
        <w:pageBreakBefore w:val="0"/>
        <w:widowControl/>
        <w:kinsoku/>
        <w:wordWrap/>
        <w:overflowPunct/>
        <w:topLinePunct w:val="0"/>
        <w:autoSpaceDE/>
        <w:autoSpaceDN/>
        <w:bidi w:val="0"/>
        <w:adjustRightInd/>
        <w:snapToGrid/>
        <w:textAlignment w:val="auto"/>
        <w:outlineLvl w:val="9"/>
        <w:rPr>
          <w:rFonts w:hint="default"/>
          <w:b/>
          <w:bCs/>
          <w:lang w:val="en-US" w:eastAsia="zh-CN"/>
        </w:rPr>
      </w:pPr>
      <w:r>
        <w:rPr>
          <w:rFonts w:hint="eastAsia"/>
          <w:b/>
          <w:bCs/>
          <w:lang w:val="en-US" w:eastAsia="zh-CN"/>
        </w:rPr>
        <w:t>Proposal 1: To study the conducted OOB requirement at frequency between 12.75GHz to 26GHz.</w:t>
      </w:r>
    </w:p>
    <w:p>
      <w:pPr>
        <w:keepNext w:val="0"/>
        <w:keepLines w:val="0"/>
        <w:pageBreakBefore w:val="0"/>
        <w:widowControl/>
        <w:kinsoku/>
        <w:wordWrap/>
        <w:overflowPunct/>
        <w:topLinePunct w:val="0"/>
        <w:autoSpaceDE/>
        <w:autoSpaceDN/>
        <w:bidi w:val="0"/>
        <w:adjustRightInd/>
        <w:snapToGrid/>
        <w:textAlignment w:val="auto"/>
        <w:outlineLvl w:val="9"/>
        <w:rPr>
          <w:rFonts w:hint="default"/>
          <w:lang w:val="en-US" w:eastAsia="zh-CN"/>
        </w:rPr>
      </w:pPr>
      <w:r>
        <w:rPr>
          <w:rFonts w:hint="eastAsia"/>
          <w:b/>
          <w:bCs/>
          <w:lang w:val="en-US" w:eastAsia="zh-CN"/>
        </w:rPr>
        <w:t>Proposal 2: To define the OTA OOB requirement for sub-range 7-13GHz based on conducted OOB requirement at frequency between 12.75GHz to 26GHz.</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b/>
          <w:bCs/>
          <w:position w:val="-24"/>
          <w:lang w:val="en-US" w:eastAsia="zh-CN"/>
        </w:rPr>
      </w:pPr>
      <w:r>
        <w:rPr>
          <w:rFonts w:hint="eastAsia"/>
          <w:b/>
          <w:bCs/>
          <w:position w:val="-24"/>
          <w:lang w:val="en-US" w:eastAsia="zh-CN"/>
        </w:rPr>
        <w:t>Proposal 3: Reuse the derivation method of BS type 2-O core requirement for sub-range 13-18GHz and 18-24GHz.</w:t>
      </w:r>
    </w:p>
    <w:p>
      <w:pPr>
        <w:bidi w:val="0"/>
        <w:rPr>
          <w:rFonts w:hint="eastAsia"/>
          <w:b/>
          <w:bCs/>
          <w:lang w:val="en-US" w:eastAsia="zh-CN"/>
        </w:rPr>
      </w:pPr>
      <w:r>
        <w:rPr>
          <w:rFonts w:hint="eastAsia"/>
          <w:b/>
          <w:bCs/>
          <w:lang w:val="en-US" w:eastAsia="zh-CN"/>
        </w:rPr>
        <w:t>Observation 3: New blocking scenario has been introduced and there will be different OTA requirement on the overlapping frequency above 12.75GHz.</w:t>
      </w:r>
    </w:p>
    <w:p>
      <w:pPr>
        <w:bidi w:val="0"/>
        <w:rPr>
          <w:rFonts w:hint="default"/>
          <w:b/>
          <w:bCs/>
          <w:lang w:val="en-US" w:eastAsia="zh-CN"/>
        </w:rPr>
      </w:pP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fldChar w:fldCharType="begin"/>
      </w:r>
      <w:r>
        <w:rPr>
          <w:rFonts w:hint="eastAsia"/>
          <w:lang w:val="en-US" w:eastAsia="zh-CN"/>
        </w:rPr>
        <w:instrText xml:space="preserve"> HYPERLINK "..\\..\\Docs\\R4-1902509.zip" </w:instrText>
      </w:r>
      <w:r>
        <w:rPr>
          <w:rFonts w:hint="eastAsia"/>
          <w:lang w:val="en-US" w:eastAsia="zh-CN"/>
        </w:rPr>
        <w:fldChar w:fldCharType="separate"/>
      </w:r>
      <w:r>
        <w:rPr>
          <w:rFonts w:hint="eastAsia"/>
          <w:lang w:val="en-US" w:eastAsia="zh-CN"/>
        </w:rPr>
        <w:t>R4-1902509</w:t>
      </w:r>
      <w:r>
        <w:rPr>
          <w:rFonts w:hint="eastAsia"/>
          <w:lang w:val="en-US" w:eastAsia="zh-CN"/>
        </w:rPr>
        <w:fldChar w:fldCharType="end"/>
      </w:r>
      <w:r>
        <w:rPr>
          <w:rFonts w:hint="eastAsia"/>
          <w:lang w:val="en-US" w:eastAsia="zh-CN"/>
        </w:rPr>
        <w:t xml:space="preserve"> Work plan for the 7-24 GHz study item, Huawei</w:t>
      </w:r>
    </w:p>
    <w:p>
      <w:pPr>
        <w:pStyle w:val="93"/>
        <w:rPr>
          <w:rFonts w:hint="eastAsia"/>
          <w:lang w:val="en-US" w:eastAsia="zh-CN"/>
        </w:rPr>
      </w:pPr>
      <w:r>
        <w:rPr>
          <w:rFonts w:hint="eastAsia"/>
          <w:lang w:val="en-US" w:eastAsia="zh-CN"/>
        </w:rPr>
        <w:t>TR 38.817-02</w:t>
      </w:r>
    </w:p>
    <w:p>
      <w:pPr>
        <w:pStyle w:val="93"/>
        <w:rPr>
          <w:rFonts w:hint="eastAsia"/>
          <w:lang w:val="en-US" w:eastAsia="zh-CN"/>
        </w:rPr>
      </w:pPr>
      <w:r>
        <w:rPr>
          <w:rFonts w:hint="eastAsia"/>
          <w:lang w:val="en-US" w:eastAsia="zh-CN"/>
        </w:rPr>
        <w:t>ITU-R  SM.329-12, Unwanted emissions in the spurious domain</w:t>
      </w:r>
    </w:p>
    <w:p>
      <w:pPr>
        <w:pStyle w:val="93"/>
        <w:rPr>
          <w:rFonts w:hint="eastAsia"/>
          <w:lang w:val="en-US" w:eastAsia="zh-CN"/>
        </w:rPr>
      </w:pPr>
      <w:r>
        <w:rPr>
          <w:rFonts w:hint="eastAsia"/>
          <w:lang w:val="en-US" w:eastAsia="zh-CN"/>
        </w:rPr>
        <w:t>R4-1802477 On interferer level for OTA RX OOB blocking for FR2, Ericsson</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0CD"/>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1F0255E"/>
    <w:rsid w:val="021B7127"/>
    <w:rsid w:val="0252547F"/>
    <w:rsid w:val="02C65454"/>
    <w:rsid w:val="031C4CB7"/>
    <w:rsid w:val="03AA77A6"/>
    <w:rsid w:val="04763DB6"/>
    <w:rsid w:val="047C7717"/>
    <w:rsid w:val="05963C46"/>
    <w:rsid w:val="07194BEB"/>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10561550"/>
    <w:rsid w:val="108C25AB"/>
    <w:rsid w:val="11CE6ABD"/>
    <w:rsid w:val="12116912"/>
    <w:rsid w:val="1354200B"/>
    <w:rsid w:val="13867FC8"/>
    <w:rsid w:val="139C0323"/>
    <w:rsid w:val="15B13CC5"/>
    <w:rsid w:val="166C0F69"/>
    <w:rsid w:val="169E6FF0"/>
    <w:rsid w:val="17672500"/>
    <w:rsid w:val="18244A12"/>
    <w:rsid w:val="19E510C0"/>
    <w:rsid w:val="1A670C75"/>
    <w:rsid w:val="1BB41235"/>
    <w:rsid w:val="1BDD4E03"/>
    <w:rsid w:val="1C3E5BEE"/>
    <w:rsid w:val="1D000C57"/>
    <w:rsid w:val="1D9D6581"/>
    <w:rsid w:val="1E4067BA"/>
    <w:rsid w:val="1E9A2C7A"/>
    <w:rsid w:val="1F697F0E"/>
    <w:rsid w:val="1F825716"/>
    <w:rsid w:val="20484B28"/>
    <w:rsid w:val="205270E7"/>
    <w:rsid w:val="20B1597C"/>
    <w:rsid w:val="21107C64"/>
    <w:rsid w:val="21472AD0"/>
    <w:rsid w:val="21C109E9"/>
    <w:rsid w:val="21D67E69"/>
    <w:rsid w:val="225847F9"/>
    <w:rsid w:val="23597F29"/>
    <w:rsid w:val="24541EC9"/>
    <w:rsid w:val="25BE15D6"/>
    <w:rsid w:val="288B0F82"/>
    <w:rsid w:val="28E63C49"/>
    <w:rsid w:val="29D25E5C"/>
    <w:rsid w:val="2A351867"/>
    <w:rsid w:val="2CD613D2"/>
    <w:rsid w:val="2D153347"/>
    <w:rsid w:val="2D2A1CF1"/>
    <w:rsid w:val="2E0A65A8"/>
    <w:rsid w:val="2F7808DB"/>
    <w:rsid w:val="30885017"/>
    <w:rsid w:val="31C725D8"/>
    <w:rsid w:val="31E70315"/>
    <w:rsid w:val="32352858"/>
    <w:rsid w:val="33957597"/>
    <w:rsid w:val="339C289B"/>
    <w:rsid w:val="33AC3E9B"/>
    <w:rsid w:val="346B6A82"/>
    <w:rsid w:val="35DA3A34"/>
    <w:rsid w:val="377F030D"/>
    <w:rsid w:val="381708BF"/>
    <w:rsid w:val="38B038AB"/>
    <w:rsid w:val="39BD0890"/>
    <w:rsid w:val="3AE16854"/>
    <w:rsid w:val="3CAA1627"/>
    <w:rsid w:val="3D3210E1"/>
    <w:rsid w:val="3E2E3C0E"/>
    <w:rsid w:val="3E343CDE"/>
    <w:rsid w:val="3E3602D5"/>
    <w:rsid w:val="3EE436F8"/>
    <w:rsid w:val="405209B8"/>
    <w:rsid w:val="414D70C7"/>
    <w:rsid w:val="422431F5"/>
    <w:rsid w:val="42395B94"/>
    <w:rsid w:val="424B558A"/>
    <w:rsid w:val="426B0E00"/>
    <w:rsid w:val="42AE4A66"/>
    <w:rsid w:val="42EE355E"/>
    <w:rsid w:val="43F45753"/>
    <w:rsid w:val="44204329"/>
    <w:rsid w:val="451A2E72"/>
    <w:rsid w:val="45D61D1B"/>
    <w:rsid w:val="465B1E95"/>
    <w:rsid w:val="467823B0"/>
    <w:rsid w:val="46ED68DD"/>
    <w:rsid w:val="48866A0F"/>
    <w:rsid w:val="4A015527"/>
    <w:rsid w:val="4B112B71"/>
    <w:rsid w:val="4BA52676"/>
    <w:rsid w:val="4C6B12AB"/>
    <w:rsid w:val="4CBE1380"/>
    <w:rsid w:val="4D8D0EED"/>
    <w:rsid w:val="4E0B7835"/>
    <w:rsid w:val="4E6374A0"/>
    <w:rsid w:val="4EDC2D82"/>
    <w:rsid w:val="50101CBA"/>
    <w:rsid w:val="50502B31"/>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39038E"/>
    <w:rsid w:val="5FBE7D86"/>
    <w:rsid w:val="6120442E"/>
    <w:rsid w:val="61392C49"/>
    <w:rsid w:val="61E91DC1"/>
    <w:rsid w:val="61EB6DF6"/>
    <w:rsid w:val="628B20F9"/>
    <w:rsid w:val="65ED19B5"/>
    <w:rsid w:val="672762CB"/>
    <w:rsid w:val="67A84266"/>
    <w:rsid w:val="68FE10CA"/>
    <w:rsid w:val="69954D46"/>
    <w:rsid w:val="6A650E24"/>
    <w:rsid w:val="6A96224A"/>
    <w:rsid w:val="6AB03EB3"/>
    <w:rsid w:val="6C560643"/>
    <w:rsid w:val="6C5C4755"/>
    <w:rsid w:val="6CC47F20"/>
    <w:rsid w:val="6D6A226E"/>
    <w:rsid w:val="6D9E564E"/>
    <w:rsid w:val="6E647BAA"/>
    <w:rsid w:val="6E6C55F9"/>
    <w:rsid w:val="6E73050D"/>
    <w:rsid w:val="6ED8743F"/>
    <w:rsid w:val="6F166551"/>
    <w:rsid w:val="6F7A5B80"/>
    <w:rsid w:val="6FA920CD"/>
    <w:rsid w:val="70994298"/>
    <w:rsid w:val="70A779CE"/>
    <w:rsid w:val="7144165B"/>
    <w:rsid w:val="73653AD9"/>
    <w:rsid w:val="752B36B1"/>
    <w:rsid w:val="75D44E15"/>
    <w:rsid w:val="77BD025C"/>
    <w:rsid w:val="792A63C1"/>
    <w:rsid w:val="79711E7A"/>
    <w:rsid w:val="79956FE3"/>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5</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cp:lastModifiedBy>
  <cp:lastPrinted>2015-01-14T18:53:00Z</cp:lastPrinted>
  <dcterms:modified xsi:type="dcterms:W3CDTF">2019-04-01T09:35:07Z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